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Stenungsund kommunfullmäktige</w:t>
      </w:r>
    </w:p>
    <w:p>
      <w:pPr>
        <w:pStyle w:val="Heading1"/>
      </w:pPr>
      <w:r>
        <w:t xml:space="preserve">Praktikplatser för unga via kommunala bolag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Stenungsund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Ungdomsarbetslösheten i Stenungsund ligger på 9,8 % (Arbetsförmedlingen 2025). Kommunala bolag som Stenungsundshem och Stenungsund Energi kan erbjuda fler praktikplatser för att bryta utanförskap.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Stenungsund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kommunala bolag ska erbjuda minst 25 praktikplatser per år för ungdomar 18–24 år.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en kommunal praktikgaranti inom 3 månader för alla sökande.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avsätta 1,2 mnkr för handledarstöd och utbildningsinsatser.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antal praktikplatser och övergång till anställning i delårsrapporten.</w:t>
      </w:r>
    </w:p>
    <w:p>
      <w:pPr>
        <w:spacing w:before="360"/>
      </w:pPr>
    </w:p>
    <w:p>
      <w:r>
        <w:t xml:space="preserve">Stenungsund,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Stenungsund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2026-07-14T01:20:59.650Z</dcterms:created>
  <dcterms:modified xsi:type="dcterms:W3CDTF">2026-07-14T01:20:59.650Z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